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华文仿宋" w:hAnsi="华文仿宋" w:eastAsia="华文仿宋"/>
          <w:sz w:val="32"/>
          <w:szCs w:val="32"/>
        </w:rPr>
      </w:pPr>
    </w:p>
    <w:p>
      <w:pPr>
        <w:adjustRightInd w:val="0"/>
        <w:snapToGrid w:val="0"/>
        <w:spacing w:line="560" w:lineRule="exact"/>
        <w:rPr>
          <w:rFonts w:ascii="华文仿宋" w:hAnsi="华文仿宋" w:eastAsia="华文仿宋"/>
          <w:sz w:val="32"/>
          <w:szCs w:val="32"/>
        </w:rPr>
      </w:pPr>
    </w:p>
    <w:p>
      <w:pPr>
        <w:adjustRightInd w:val="0"/>
        <w:snapToGrid w:val="0"/>
        <w:spacing w:line="560" w:lineRule="exact"/>
        <w:rPr>
          <w:rFonts w:ascii="华文仿宋" w:hAnsi="华文仿宋" w:eastAsia="华文仿宋"/>
          <w:sz w:val="32"/>
          <w:szCs w:val="32"/>
        </w:rPr>
      </w:pPr>
    </w:p>
    <w:p>
      <w:pPr>
        <w:adjustRightInd w:val="0"/>
        <w:snapToGrid w:val="0"/>
        <w:spacing w:line="560" w:lineRule="exact"/>
        <w:rPr>
          <w:rFonts w:ascii="华文仿宋" w:hAnsi="华文仿宋" w:eastAsia="华文仿宋"/>
          <w:sz w:val="32"/>
          <w:szCs w:val="32"/>
        </w:rPr>
      </w:pPr>
    </w:p>
    <w:p>
      <w:pPr>
        <w:adjustRightInd w:val="0"/>
        <w:snapToGrid w:val="0"/>
        <w:spacing w:line="560" w:lineRule="exact"/>
        <w:rPr>
          <w:rFonts w:ascii="华文仿宋" w:hAnsi="华文仿宋" w:eastAsia="华文仿宋"/>
          <w:sz w:val="32"/>
          <w:szCs w:val="32"/>
        </w:rPr>
      </w:pPr>
    </w:p>
    <w:p>
      <w:pPr>
        <w:adjustRightInd w:val="0"/>
        <w:snapToGrid w:val="0"/>
        <w:spacing w:line="560" w:lineRule="exact"/>
        <w:rPr>
          <w:rFonts w:ascii="华文仿宋" w:hAnsi="华文仿宋" w:eastAsia="华文仿宋"/>
          <w:sz w:val="32"/>
          <w:szCs w:val="32"/>
        </w:rPr>
      </w:pPr>
    </w:p>
    <w:p>
      <w:pPr>
        <w:adjustRightInd w:val="0"/>
        <w:snapToGri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郑安监管〔201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号</w:t>
      </w:r>
    </w:p>
    <w:p>
      <w:pPr>
        <w:adjustRightInd w:val="0"/>
        <w:snapToGrid w:val="0"/>
        <w:spacing w:line="560" w:lineRule="exact"/>
        <w:jc w:val="center"/>
        <w:rPr>
          <w:rFonts w:ascii="宋体" w:hAnsi="宋体" w:eastAsia="方正小标宋简体" w:cs="宋体"/>
          <w:bCs/>
          <w:sz w:val="44"/>
          <w:szCs w:val="44"/>
        </w:rPr>
      </w:pPr>
    </w:p>
    <w:p>
      <w:pPr>
        <w:adjustRightInd w:val="0"/>
        <w:snapToGrid w:val="0"/>
        <w:spacing w:line="560" w:lineRule="exact"/>
        <w:jc w:val="center"/>
        <w:rPr>
          <w:rFonts w:ascii="宋体" w:hAnsi="宋体" w:eastAsia="方正小标宋简体" w:cs="宋体"/>
          <w:bCs/>
          <w:sz w:val="44"/>
          <w:szCs w:val="44"/>
        </w:rPr>
      </w:pPr>
    </w:p>
    <w:p>
      <w:pPr>
        <w:spacing w:line="560" w:lineRule="exact"/>
        <w:jc w:val="center"/>
        <w:rPr>
          <w:rFonts w:ascii="宋体" w:hAnsi="宋体" w:eastAsia="方正小标宋简体"/>
          <w:sz w:val="44"/>
        </w:rPr>
      </w:pPr>
      <w:r>
        <w:rPr>
          <w:rFonts w:hint="eastAsia" w:ascii="宋体" w:hAnsi="宋体" w:eastAsia="方正小标宋简体"/>
          <w:sz w:val="44"/>
        </w:rPr>
        <w:t>郑州市安全生产监督管理局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全市</w:t>
      </w:r>
      <w:r>
        <w:rPr>
          <w:rFonts w:hint="eastAsia" w:ascii="方正小标宋简体" w:hAnsi="方正小标宋简体" w:eastAsia="方正小标宋简体" w:cs="方正小标宋简体"/>
          <w:sz w:val="44"/>
          <w:szCs w:val="44"/>
        </w:rPr>
        <w:t>尘毒危害治理工作</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rPr>
        <w:t>情况的</w:t>
      </w:r>
    </w:p>
    <w:p>
      <w:pPr>
        <w:spacing w:line="560" w:lineRule="exact"/>
        <w:jc w:val="center"/>
        <w:rPr>
          <w:rFonts w:ascii="方正小标宋简体" w:hAnsi="方正小标宋简体" w:eastAsia="方正小标宋简体" w:cs="方正小标宋简体"/>
          <w:sz w:val="44"/>
          <w:szCs w:val="44"/>
        </w:rPr>
      </w:pPr>
      <w:r>
        <w:fldChar w:fldCharType="begin"/>
      </w:r>
      <w:r>
        <w:instrText xml:space="preserve">HYPERLINK "http://gw.yjbys.com/tongbao/" </w:instrText>
      </w:r>
      <w:r>
        <w:fldChar w:fldCharType="separate"/>
      </w: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报</w:t>
      </w:r>
      <w:r>
        <w:fldChar w:fldCharType="end"/>
      </w:r>
    </w:p>
    <w:p>
      <w:pPr>
        <w:autoSpaceDN w:val="0"/>
        <w:spacing w:line="560" w:lineRule="exact"/>
        <w:ind w:firstLine="420"/>
        <w:rPr>
          <w:rFonts w:ascii="仿宋_GB2312" w:hAnsi="仿宋_GB2312" w:eastAsia="仿宋_GB2312" w:cs="仿宋_GB2312"/>
          <w:color w:val="000000"/>
          <w:sz w:val="32"/>
          <w:szCs w:val="32"/>
        </w:rPr>
      </w:pP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各县（市、区）安全生产监督管理局：</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推进尘毒危害治理示范企业创建工作深入开展，根据郑州市安监局《关于印发郑州市尘毒危害治理工作方案的通知》（郑安监管〔2018〕70号）要求，市安监局于11月20日至12月13日组织专家组对15个县（市、区）尘毒危害治理工作开展情况进行抽查、核查。现将有关情况通报如下：</w:t>
      </w:r>
    </w:p>
    <w:p>
      <w:pPr>
        <w:wordWrap/>
        <w:adjustRightInd/>
        <w:snapToGrid/>
        <w:spacing w:before="0" w:after="0" w:line="560" w:lineRule="exact"/>
        <w:ind w:left="0" w:leftChars="0" w:right="0" w:firstLine="0" w:firstLineChars="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一、总体情况</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次抽查验收按照《尘毒危害治理创建企业验收表》确定的15项标准，随机抽查了33家尘毒危害治理创建企业。其中，抽查了15个县（市、区）创建的31家尘毒危害治理示范企业，达标企业29家，不达标2家；抽查了2家市属企业，全部达标。全市尘毒危害治理创建工作综合评价较好的单位是：二七区、荥阳市、惠济区、航空港区、登封市、金水区、新密市、中牟县、中原区。（具体得分情况见附件：尘毒危害治理创建企业验收结果统计表）。</w:t>
      </w:r>
    </w:p>
    <w:p>
      <w:pPr>
        <w:wordWrap/>
        <w:adjustRightInd/>
        <w:snapToGrid/>
        <w:spacing w:before="0" w:after="0" w:line="560" w:lineRule="exact"/>
        <w:ind w:left="0" w:leftChars="0" w:right="0" w:firstLine="0" w:firstLine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二、工作成效</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尘毒危害治理创建工作是2018年度重点工作之一，各县（市、区）结合实际，扎实推进，重点督促企业改进工艺、强化管理，提升尘毒危害防治能力和职业卫生管理规范化水平，进一步改善了尘毒危害严重的行业领域的作业环境，夯实了职业病防治工作基础。</w:t>
      </w:r>
    </w:p>
    <w:p>
      <w:pPr>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（一）精心组织，措施得力。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各县（市、区）安监部门高度重视，精心组织，深入创建企业进行指导帮扶。二七区、荥阳市、新密市安监局多次召开尘毒危害治理专题会议，安排部署工作方案，并组织专家深入企业现场指导；</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严格治理标准抓落实，开展自查自纠，制定专项整改方案，不断改进完善工作措施。航空港区、惠济区、中牟县安监局根据尘毒危害治理工作标准，督促、帮助企业制定工作方案，认真开展自查自纠。</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 xml:space="preserve">参与企业能按照创建要求扎实开展尘毒危害治理工作。郑州腾飞预拌商品有限公司、郑州中升汇通迪汽车销售服务有限公司、郑州机械研究所严格按照尘毒危害治理的工作标准，认真抓好工程措施和管理措施的落实，实现了任务和效果“双落实”，尘毒危害治理效果逐步显现。    </w:t>
      </w:r>
    </w:p>
    <w:p>
      <w:pPr>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（二）责任落实，源头控制。</w:t>
      </w:r>
      <w:r>
        <w:rPr>
          <w:rFonts w:hint="eastAsia" w:ascii="仿宋_GB2312" w:hAnsi="仿宋_GB2312" w:eastAsia="仿宋_GB2312" w:cs="仿宋_GB2312"/>
          <w:sz w:val="32"/>
          <w:szCs w:val="32"/>
          <w:lang w:val="en-US" w:eastAsia="zh-CN"/>
        </w:rPr>
        <w:t>尘毒危害治理创建企业认真落实整改方案，扎实开展治理创建工作，通过采用无毒或有害性低的物质（或设备）代替有毒或有害性高的物质（或设备），选取先进的生产工艺或作业方法，改造密闭、通风、隔离等防尘防毒设施，有效降低了工作场所尘毒危害浓度，职业病危害源头防护能力得到了进一步提升。抽查的33家尘毒危害治理创建企业中，94%的企业按照规定定期对工作场所进行职业病危害因素检测、评价；97%的企业组织了劳动者进行职业健康检查。</w:t>
      </w:r>
    </w:p>
    <w:p>
      <w:pPr>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（三）成效明显，制度健全。</w:t>
      </w:r>
      <w:r>
        <w:rPr>
          <w:rFonts w:hint="eastAsia" w:ascii="仿宋_GB2312" w:hAnsi="仿宋_GB2312" w:eastAsia="仿宋_GB2312" w:cs="仿宋_GB2312"/>
          <w:sz w:val="32"/>
          <w:szCs w:val="32"/>
          <w:lang w:val="en-US" w:eastAsia="zh-CN"/>
        </w:rPr>
        <w:t>尘毒危害严重的企业防治意识不断增强、投入不断加大、职业卫生管理体系不断完善，职业卫生管理水平进一步提高。大部分企业建立健全了管理制度、设置了机构和配备了人员、投入了必要的经费、作业岗位按照规范设置了警示标识或危害告知卡、配发了符合要求的个体防护用品。抽查的33家尘毒危害治理创建企业，企业负责人和管理人员参加职业卫生培训率为100%；尘毒危害治理达标企业31家，不达标企业2家，达标率为94% 。</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二、存在的主要问题</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尘毒危害治理工作虽然取得了一定成效，但依然还存在不少问题。主要表现在：</w:t>
      </w:r>
    </w:p>
    <w:p>
      <w:pPr>
        <w:widowControl w:val="0"/>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（一）</w:t>
      </w:r>
      <w:r>
        <w:rPr>
          <w:rFonts w:hint="eastAsia" w:ascii="楷体_GB2312" w:hAnsi="楷体_GB2312" w:eastAsia="楷体_GB2312" w:cs="楷体_GB2312"/>
          <w:sz w:val="32"/>
          <w:szCs w:val="32"/>
        </w:rPr>
        <w:t>部分用人单位主体责任落实不到位</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抽查过程中发现，</w:t>
      </w:r>
      <w:r>
        <w:rPr>
          <w:rFonts w:hint="eastAsia" w:ascii="仿宋_GB2312" w:hAnsi="仿宋_GB2312" w:eastAsia="仿宋_GB2312" w:cs="仿宋_GB2312"/>
          <w:sz w:val="32"/>
          <w:szCs w:val="32"/>
          <w:lang w:eastAsia="zh-CN"/>
        </w:rPr>
        <w:t>部分用人单位履行主体责任不实，在制定方案与工作落实上出现“两张皮”现象，尘毒危害治理</w:t>
      </w:r>
      <w:r>
        <w:rPr>
          <w:rFonts w:hint="eastAsia" w:ascii="仿宋_GB2312" w:hAnsi="仿宋_GB2312" w:eastAsia="仿宋_GB2312" w:cs="仿宋_GB2312"/>
          <w:sz w:val="32"/>
          <w:szCs w:val="32"/>
        </w:rPr>
        <w:t>投入严重不足，职业病防治责任落实不到位</w:t>
      </w:r>
      <w:r>
        <w:rPr>
          <w:rFonts w:hint="eastAsia" w:ascii="仿宋_GB2312" w:hAnsi="仿宋_GB2312" w:eastAsia="仿宋_GB2312" w:cs="仿宋_GB2312"/>
          <w:sz w:val="32"/>
          <w:szCs w:val="32"/>
          <w:lang w:val="en-US" w:eastAsia="zh-CN"/>
        </w:rPr>
        <w:t>；部分企业在县（市、区）组织验收不达标后，对检查出的</w:t>
      </w:r>
      <w:r>
        <w:rPr>
          <w:rFonts w:hint="eastAsia" w:ascii="仿宋_GB2312" w:hAnsi="仿宋_GB2312" w:eastAsia="仿宋_GB2312" w:cs="仿宋_GB2312"/>
          <w:sz w:val="32"/>
          <w:szCs w:val="32"/>
        </w:rPr>
        <w:t>档案制度不健全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职业健康监护工作不规范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职业病危害隐患</w:t>
      </w:r>
      <w:r>
        <w:rPr>
          <w:rFonts w:hint="eastAsia" w:ascii="仿宋_GB2312" w:hAnsi="仿宋_GB2312" w:eastAsia="仿宋_GB2312" w:cs="仿宋_GB2312"/>
          <w:sz w:val="32"/>
          <w:szCs w:val="32"/>
          <w:lang w:eastAsia="zh-CN"/>
        </w:rPr>
        <w:t>严重等问题</w:t>
      </w:r>
      <w:r>
        <w:rPr>
          <w:rFonts w:hint="eastAsia" w:ascii="仿宋_GB2312" w:hAnsi="仿宋_GB2312" w:eastAsia="仿宋_GB2312" w:cs="仿宋_GB2312"/>
          <w:sz w:val="32"/>
          <w:szCs w:val="32"/>
          <w:lang w:val="en-US" w:eastAsia="zh-CN"/>
        </w:rPr>
        <w:t>，没有及时整改，在市局组织抽查验收时，潜在的职业病危害因素依然存在。</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（二）示范企业创建水平参差不齐。</w:t>
      </w:r>
      <w:r>
        <w:rPr>
          <w:rFonts w:hint="eastAsia" w:ascii="仿宋_GB2312" w:hAnsi="仿宋_GB2312" w:eastAsia="仿宋_GB2312" w:cs="仿宋_GB2312"/>
          <w:sz w:val="32"/>
          <w:szCs w:val="32"/>
          <w:lang w:val="en-US" w:eastAsia="zh-CN"/>
        </w:rPr>
        <w:t>部分企业对自身存在问题隐患的严重后果认识不足，整改经费投入不足，整改标准不高，整改效果差距明显。抽查验收中，得分最高企业为99.5分，而得分最低企业仅得67.5分，两者差距很大，后者根本没有达到尘毒危害治理企业创建标准要求。</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（三）企业职业健康管理水平有待进一步提升。</w:t>
      </w:r>
      <w:r>
        <w:rPr>
          <w:rFonts w:hint="eastAsia" w:ascii="仿宋_GB2312" w:hAnsi="仿宋_GB2312" w:eastAsia="仿宋_GB2312" w:cs="仿宋_GB2312"/>
          <w:sz w:val="32"/>
          <w:szCs w:val="32"/>
          <w:lang w:val="en-US" w:eastAsia="zh-CN"/>
        </w:rPr>
        <w:t>部分企业在职业健康管理人员配置、建设项目职业卫生“三同时”、职业病危害项目申报、职业病危害因素检测、职业病危害告知、职业健康检查、职业健康监护等方面还存在比较突出的问题，</w:t>
      </w:r>
      <w:r>
        <w:rPr>
          <w:rFonts w:hint="eastAsia" w:ascii="仿宋_GB2312" w:hAnsi="仿宋_GB2312" w:eastAsia="仿宋_GB2312" w:cs="仿宋_GB2312"/>
          <w:sz w:val="32"/>
          <w:szCs w:val="32"/>
          <w:lang w:eastAsia="zh-CN"/>
        </w:rPr>
        <w:t>部分问题隐患长期存在，必须引起监管部门和用人单位</w:t>
      </w:r>
      <w:r>
        <w:rPr>
          <w:rFonts w:hint="eastAsia" w:ascii="仿宋_GB2312" w:hAnsi="仿宋_GB2312" w:eastAsia="仿宋_GB2312" w:cs="仿宋_GB2312"/>
          <w:sz w:val="32"/>
          <w:szCs w:val="32"/>
          <w:lang w:val="en-US" w:eastAsia="zh-CN"/>
        </w:rPr>
        <w:t>的高度重视。</w:t>
      </w:r>
    </w:p>
    <w:p>
      <w:pPr>
        <w:wordWrap/>
        <w:adjustRightInd/>
        <w:snapToGrid/>
        <w:spacing w:before="0" w:after="0" w:line="560" w:lineRule="exact"/>
        <w:ind w:left="0" w:leftChars="0" w:right="0" w:firstLine="0" w:firstLineChars="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四、下步工作要求</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（一）进一步抓好尘毒危害治理工作。</w:t>
      </w:r>
      <w:r>
        <w:rPr>
          <w:rFonts w:hint="eastAsia" w:ascii="仿宋_GB2312" w:hAnsi="仿宋_GB2312" w:eastAsia="仿宋_GB2312" w:cs="仿宋_GB2312"/>
          <w:sz w:val="32"/>
          <w:szCs w:val="32"/>
          <w:lang w:val="en-US" w:eastAsia="zh-CN"/>
        </w:rPr>
        <w:t>各县（市、区）要按照尘毒危害治理示范企业标准，督导企业改进工艺，强化管理，提升企业治理尘毒危害问题隐患的水平，打造出可学习、可借鉴的尘毒危害治理示范企业。对于在市安监局组织的抽查过程中没有达标的企业要按照尘毒危害治理创建标准进行治理整改，所在县（市、区）安监部门督促该企业在规定的时限内整改到位，实现达标。</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（二）进一步做好总结推广。</w:t>
      </w:r>
      <w:r>
        <w:rPr>
          <w:rFonts w:hint="eastAsia" w:ascii="仿宋_GB2312" w:hAnsi="仿宋_GB2312" w:eastAsia="仿宋_GB2312" w:cs="仿宋_GB2312"/>
          <w:sz w:val="32"/>
          <w:szCs w:val="32"/>
          <w:lang w:val="en-US" w:eastAsia="zh-CN"/>
        </w:rPr>
        <w:t>认真做好尘毒危害治理工作总结，充分发挥示范企业的引领作用，将示范企业的典型经验在本地区推广，以点带面，推进尘毒危害治理工作，督促辖区内尘毒危害严重的行业企业落实职业病防治主体责任，提升尘毒危害治理能力和职业卫生管理水平。</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（三）进一步加强监督执法力度。</w:t>
      </w:r>
      <w:r>
        <w:rPr>
          <w:rFonts w:hint="eastAsia" w:ascii="仿宋_GB2312" w:hAnsi="仿宋_GB2312" w:eastAsia="仿宋_GB2312" w:cs="仿宋_GB2312"/>
          <w:sz w:val="32"/>
          <w:szCs w:val="32"/>
          <w:lang w:val="en-US" w:eastAsia="zh-CN"/>
        </w:rPr>
        <w:t>各县（市、区）要把尘毒危害治理作为职业病防治重点工作，列入年度执法计划，深入开展尘毒危害专项治理工作。加强对尘毒危害严重超标的行业企业的监督检查力度，要突出检查重点作业岗位、重点危害因素，提高检查频次，对专项治理不认真、职业病危害因素防治措施不落实、防护设施不完善、防护用品不合规以及危害浓（强）度超标等违法违规行为，坚决依法予以处罚。</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附件：尘毒危害治理创建企业验收结果统计表</w:t>
      </w: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p>
    <w:p>
      <w:pPr>
        <w:wordWrap/>
        <w:adjustRightInd/>
        <w:snapToGrid/>
        <w:spacing w:before="0" w:after="0" w:line="560" w:lineRule="exact"/>
        <w:ind w:left="0" w:leftChars="0" w:right="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2018年12月19日</w:t>
      </w:r>
    </w:p>
    <w:p>
      <w:pPr>
        <w:widowControl w:val="0"/>
        <w:wordWrap/>
        <w:autoSpaceDN w:val="0"/>
        <w:adjustRightInd/>
        <w:snapToGrid/>
        <w:spacing w:before="0" w:after="210" w:line="560" w:lineRule="exact"/>
        <w:ind w:left="0" w:leftChars="0" w:right="0" w:firstLine="0" w:firstLineChars="0"/>
        <w:jc w:val="both"/>
        <w:textAlignment w:val="auto"/>
        <w:outlineLvl w:val="9"/>
        <w:rPr>
          <w:rFonts w:ascii="仿宋_GB2312" w:eastAsia="仿宋_GB2312"/>
          <w:sz w:val="32"/>
          <w:szCs w:val="32"/>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尘毒危害治理创建企业验收结果统计表</w:t>
      </w:r>
    </w:p>
    <w:tbl>
      <w:tblPr>
        <w:tblStyle w:val="6"/>
        <w:tblpPr w:leftFromText="180" w:rightFromText="180" w:vertAnchor="text" w:horzAnchor="page" w:tblpX="2242" w:tblpY="311"/>
        <w:tblOverlap w:val="never"/>
        <w:tblW w:w="7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9"/>
        <w:gridCol w:w="534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59" w:type="dxa"/>
            <w:tcBorders>
              <w:top w:val="single" w:color="000000" w:sz="12" w:space="0"/>
              <w:left w:val="single" w:color="000000" w:sz="12"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楷体_GB2312" w:hAnsi="楷体_GB2312" w:eastAsia="楷体_GB2312" w:cs="楷体_GB2312"/>
                <w:b w:val="0"/>
                <w:bCs/>
                <w:i w:val="0"/>
                <w:color w:val="000000"/>
                <w:sz w:val="30"/>
                <w:szCs w:val="30"/>
                <w:u w:val="none"/>
              </w:rPr>
            </w:pPr>
            <w:r>
              <w:rPr>
                <w:rFonts w:hint="eastAsia" w:ascii="楷体_GB2312" w:hAnsi="楷体_GB2312" w:eastAsia="楷体_GB2312" w:cs="楷体_GB2312"/>
                <w:b w:val="0"/>
                <w:bCs/>
                <w:i w:val="0"/>
                <w:color w:val="000000"/>
                <w:kern w:val="0"/>
                <w:sz w:val="30"/>
                <w:szCs w:val="30"/>
                <w:u w:val="none"/>
                <w:lang w:val="en-US" w:eastAsia="zh-CN" w:bidi="ar-SA"/>
              </w:rPr>
              <w:t>序号</w:t>
            </w:r>
          </w:p>
        </w:tc>
        <w:tc>
          <w:tcPr>
            <w:tcW w:w="5340" w:type="dxa"/>
            <w:tcBorders>
              <w:top w:val="single" w:color="000000" w:sz="12" w:space="0"/>
              <w:left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楷体_GB2312" w:hAnsi="楷体_GB2312" w:eastAsia="楷体_GB2312" w:cs="楷体_GB2312"/>
                <w:b w:val="0"/>
                <w:bCs/>
                <w:i w:val="0"/>
                <w:color w:val="000000"/>
                <w:sz w:val="30"/>
                <w:szCs w:val="30"/>
                <w:u w:val="none"/>
              </w:rPr>
            </w:pPr>
            <w:r>
              <w:rPr>
                <w:rFonts w:hint="eastAsia" w:ascii="楷体_GB2312" w:hAnsi="楷体_GB2312" w:eastAsia="楷体_GB2312" w:cs="楷体_GB2312"/>
                <w:b w:val="0"/>
                <w:bCs/>
                <w:i w:val="0"/>
                <w:color w:val="000000"/>
                <w:kern w:val="0"/>
                <w:sz w:val="30"/>
                <w:szCs w:val="30"/>
                <w:u w:val="none"/>
                <w:lang w:val="en-US" w:eastAsia="zh-CN" w:bidi="ar-SA"/>
              </w:rPr>
              <w:t>企业名称</w:t>
            </w:r>
          </w:p>
        </w:tc>
        <w:tc>
          <w:tcPr>
            <w:tcW w:w="1320" w:type="dxa"/>
            <w:tcBorders>
              <w:top w:val="single" w:color="000000" w:sz="12" w:space="0"/>
              <w:left w:val="single" w:color="000000" w:sz="4" w:space="0"/>
              <w:right w:val="single" w:color="000000" w:sz="12"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楷体_GB2312" w:hAnsi="楷体_GB2312" w:eastAsia="楷体_GB2312" w:cs="楷体_GB2312"/>
                <w:b w:val="0"/>
                <w:bCs/>
                <w:i w:val="0"/>
                <w:color w:val="000000"/>
                <w:sz w:val="30"/>
                <w:szCs w:val="30"/>
                <w:u w:val="none"/>
              </w:rPr>
            </w:pPr>
            <w:r>
              <w:rPr>
                <w:rFonts w:hint="eastAsia" w:ascii="楷体_GB2312" w:hAnsi="楷体_GB2312" w:eastAsia="楷体_GB2312" w:cs="楷体_GB2312"/>
                <w:b w:val="0"/>
                <w:bCs/>
                <w:i w:val="0"/>
                <w:color w:val="000000"/>
                <w:kern w:val="0"/>
                <w:sz w:val="30"/>
                <w:szCs w:val="30"/>
                <w:u w:val="none"/>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b w:val="0"/>
                <w:i w:val="0"/>
                <w:color w:val="auto"/>
                <w:sz w:val="24"/>
                <w:szCs w:val="24"/>
                <w:u w:val="none"/>
                <w:lang w:eastAsia="zh-CN"/>
              </w:rPr>
              <w:t>郑州腾飞预拌商品有限公司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2</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郑州中升汇通迪汽车销售服务有限公司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3</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bottom"/>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val="en-US" w:eastAsia="zh-CN"/>
              </w:rPr>
              <w:t>郑州机械研究所</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4</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0" w:leftChars="0" w:right="0" w:firstLine="0" w:firstLineChars="0"/>
              <w:jc w:val="left"/>
              <w:textAlignment w:val="auto"/>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河南中烟工业有限责任公司黄金叶生产制造中心</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5</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b w:val="0"/>
                <w:i w:val="0"/>
                <w:caps w:val="0"/>
                <w:color w:val="auto"/>
                <w:spacing w:val="0"/>
                <w:sz w:val="24"/>
                <w:szCs w:val="24"/>
              </w:rPr>
              <w:t>河南五建混凝土有限公司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6</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top"/>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24"/>
                <w:szCs w:val="24"/>
                <w:u w:val="none"/>
                <w:lang w:val="en-US" w:eastAsia="zh-CN"/>
              </w:rPr>
              <w:t>郑州市郑东新区水务有限公司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7</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河南奥吉通奥霖汽车销售有限公司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8</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val="en-US" w:eastAsia="zh-CN"/>
              </w:rPr>
              <w:t>登封中联登电水泥有限公司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9</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b w:val="0"/>
                <w:i w:val="0"/>
                <w:color w:val="auto"/>
                <w:sz w:val="24"/>
                <w:szCs w:val="24"/>
                <w:u w:val="none"/>
                <w:lang w:eastAsia="zh-CN"/>
              </w:rPr>
              <w:t>郑州三一涂料有限公司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10</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bottom"/>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山东龙泉管道工程股份有限公司河南分公司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11</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bottom"/>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val="en-US" w:eastAsia="zh-CN"/>
              </w:rPr>
              <w:t>郑州汇特耐火材料有限公司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12</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bottom"/>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rPr>
              <w:t>河南省防伪保密印刷公司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lang w:val="en-US" w:eastAsia="zh-CN"/>
              </w:rPr>
            </w:pPr>
            <w:r>
              <w:rPr>
                <w:rFonts w:hint="eastAsia" w:ascii="仿宋_GB2312" w:hAnsi="仿宋_GB2312" w:eastAsia="仿宋_GB2312" w:cs="仿宋_GB2312"/>
                <w:i w:val="0"/>
                <w:color w:val="auto"/>
                <w:sz w:val="32"/>
                <w:szCs w:val="32"/>
                <w:u w:val="none"/>
                <w:lang w:val="en-US" w:eastAsia="zh-CN"/>
              </w:rPr>
              <w:t>13</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auto"/>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rPr>
              <w:t>广州风神汽车有限公司郑州分公司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lang w:val="en-US" w:eastAsia="zh-CN"/>
              </w:rPr>
            </w:pPr>
            <w:r>
              <w:rPr>
                <w:rFonts w:hint="eastAsia" w:ascii="仿宋_GB2312" w:hAnsi="仿宋_GB2312" w:eastAsia="仿宋_GB2312" w:cs="仿宋_GB2312"/>
                <w:i w:val="0"/>
                <w:color w:val="auto"/>
                <w:sz w:val="32"/>
                <w:szCs w:val="32"/>
                <w:u w:val="none"/>
                <w:lang w:val="en-US" w:eastAsia="zh-CN"/>
              </w:rPr>
              <w:t>14</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天瑞新登郑州水泥有限公司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lang w:val="en-US" w:eastAsia="zh-CN"/>
              </w:rPr>
            </w:pPr>
            <w:r>
              <w:rPr>
                <w:rFonts w:hint="eastAsia" w:ascii="仿宋_GB2312" w:hAnsi="仿宋_GB2312" w:eastAsia="仿宋_GB2312" w:cs="仿宋_GB2312"/>
                <w:i w:val="0"/>
                <w:color w:val="auto"/>
                <w:sz w:val="32"/>
                <w:szCs w:val="32"/>
                <w:u w:val="none"/>
                <w:lang w:val="en-US" w:eastAsia="zh-CN"/>
              </w:rPr>
              <w:t>15</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b w:val="0"/>
                <w:i w:val="0"/>
                <w:caps w:val="0"/>
                <w:color w:val="auto"/>
                <w:spacing w:val="0"/>
                <w:sz w:val="24"/>
                <w:szCs w:val="24"/>
              </w:rPr>
              <w:t>河南省松光民爆器材股份有限公司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8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lang w:val="en-US" w:eastAsia="zh-CN"/>
              </w:rPr>
            </w:pPr>
            <w:r>
              <w:rPr>
                <w:rFonts w:hint="eastAsia" w:ascii="仿宋_GB2312" w:hAnsi="仿宋_GB2312" w:eastAsia="仿宋_GB2312" w:cs="仿宋_GB2312"/>
                <w:i w:val="0"/>
                <w:color w:val="auto"/>
                <w:sz w:val="32"/>
                <w:szCs w:val="32"/>
                <w:u w:val="none"/>
                <w:lang w:val="en-US" w:eastAsia="zh-CN"/>
              </w:rPr>
              <w:t>16</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80" w:lineRule="exact"/>
              <w:ind w:left="210" w:leftChars="100" w:right="0" w:firstLine="0" w:firstLineChars="0"/>
              <w:jc w:val="left"/>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郑州振华君润汽车部件有限公司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80" w:lineRule="exact"/>
              <w:ind w:leftChars="100"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17</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b w:val="0"/>
                <w:i w:val="0"/>
                <w:caps w:val="0"/>
                <w:color w:val="auto"/>
                <w:spacing w:val="0"/>
                <w:sz w:val="24"/>
                <w:szCs w:val="24"/>
                <w:lang w:eastAsia="zh-CN"/>
              </w:rPr>
              <w:t>郑州正业包装有限公司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18</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lang w:eastAsia="zh-CN"/>
              </w:rPr>
              <w:t>郑州污水净化有限公司八岗污泥处置厂</w:t>
            </w:r>
          </w:p>
        </w:tc>
        <w:tc>
          <w:tcPr>
            <w:tcW w:w="1320" w:type="dxa"/>
            <w:tcBorders>
              <w:top w:val="single" w:color="000000" w:sz="4" w:space="0"/>
              <w:left w:val="single" w:color="000000" w:sz="4" w:space="0"/>
              <w:bottom w:val="single" w:color="000000" w:sz="4" w:space="0"/>
              <w:right w:val="single" w:color="000000" w:sz="12" w:space="0"/>
            </w:tcBorders>
            <w:vAlign w:val="center"/>
          </w:tcPr>
          <w:p>
            <w:pPr>
              <w:wordWrap/>
              <w:adjustRightInd/>
              <w:snapToGrid/>
              <w:spacing w:before="0" w:after="0" w:line="340" w:lineRule="exact"/>
              <w:ind w:right="0" w:firstLine="0" w:firstLineChars="0"/>
              <w:jc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19</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rPr>
              <w:t>河南瑞泰耐火材料有限公司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i w:val="0"/>
                <w:color w:val="auto"/>
                <w:kern w:val="0"/>
                <w:sz w:val="32"/>
                <w:szCs w:val="32"/>
                <w:u w:val="none"/>
                <w:lang w:val="en-US" w:eastAsia="zh-CN" w:bidi="ar-SA"/>
              </w:rPr>
              <w:t>20</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auto"/>
                <w:sz w:val="32"/>
                <w:szCs w:val="32"/>
                <w:u w:val="none"/>
              </w:rPr>
            </w:pPr>
            <w:r>
              <w:rPr>
                <w:rFonts w:hint="eastAsia" w:ascii="仿宋_GB2312" w:hAnsi="仿宋_GB2312" w:eastAsia="仿宋_GB2312" w:cs="仿宋_GB2312"/>
                <w:color w:val="auto"/>
                <w:sz w:val="24"/>
                <w:szCs w:val="24"/>
              </w:rPr>
              <w:t>郑州云顶服饰有限公司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SA"/>
              </w:rPr>
              <w:t>21</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rPr>
              <w:t>河南豫海汽车销售有限公司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SA"/>
              </w:rPr>
              <w:t>22</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lang w:val="en-US" w:eastAsia="zh-CN"/>
              </w:rPr>
              <w:t>河南太龙药业股份有限公司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23</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rPr>
              <w:t>新郑市恒发水泥厂</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24</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40" w:lineRule="exact"/>
              <w:ind w:leftChars="100" w:right="0" w:firstLine="0" w:firstLineChars="0"/>
              <w:jc w:val="left"/>
              <w:textAlignment w:val="center"/>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24"/>
                <w:szCs w:val="24"/>
                <w:u w:val="none"/>
                <w:lang w:val="en-US" w:eastAsia="zh-CN"/>
              </w:rPr>
              <w:t>河南中德宝汽车销售服务有限公司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25</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rPr>
              <w:t>河南太可思服饰有限公司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26</w:t>
            </w:r>
          </w:p>
        </w:tc>
        <w:tc>
          <w:tcPr>
            <w:tcW w:w="534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before="0" w:after="0" w:line="340" w:lineRule="exact"/>
              <w:ind w:leftChars="100" w:right="0" w:firstLine="0" w:firstLineChars="0"/>
              <w:jc w:val="left"/>
              <w:textAlignment w:val="bottom"/>
              <w:outlineLvl w:val="9"/>
              <w:rPr>
                <w:rFonts w:hint="eastAsia" w:ascii="仿宋_GB2312" w:hAnsi="仿宋_GB2312" w:eastAsia="仿宋_GB2312" w:cs="仿宋_GB2312"/>
                <w:i w:val="0"/>
                <w:color w:val="000000"/>
                <w:sz w:val="32"/>
                <w:szCs w:val="32"/>
                <w:u w:val="none"/>
                <w:lang w:eastAsia="zh-CN"/>
              </w:rPr>
            </w:pPr>
            <w:r>
              <w:rPr>
                <w:rFonts w:hint="eastAsia" w:ascii="仿宋_GB2312" w:hAnsi="仿宋_GB2312" w:eastAsia="仿宋_GB2312" w:cs="仿宋_GB2312"/>
                <w:i w:val="0"/>
                <w:color w:val="000000"/>
                <w:sz w:val="24"/>
                <w:szCs w:val="24"/>
                <w:u w:val="none"/>
                <w:lang w:eastAsia="zh-CN"/>
              </w:rPr>
              <w:t>河南黎明西芝重工有限公司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27</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rPr>
              <w:t>郑州报业集团印刷厂</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28</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kern w:val="2"/>
                <w:sz w:val="24"/>
                <w:szCs w:val="24"/>
                <w:lang w:val="en-US" w:eastAsia="zh-CN"/>
              </w:rPr>
              <w:t>安佑（河南）科技饲料有限公司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29</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sz w:val="24"/>
                <w:szCs w:val="24"/>
              </w:rPr>
              <w:t>河南京师印务有限公司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b w:val="0"/>
                <w:bCs w:val="0"/>
                <w:i w:val="0"/>
                <w:color w:val="000000"/>
                <w:sz w:val="32"/>
                <w:szCs w:val="32"/>
                <w:u w:val="none"/>
                <w:shd w:val="clear" w:color="auto" w:fill="auto"/>
                <w:lang w:val="en-US" w:eastAsia="zh-CN"/>
              </w:rPr>
            </w:pPr>
            <w:r>
              <w:rPr>
                <w:rFonts w:hint="eastAsia" w:ascii="仿宋_GB2312" w:hAnsi="仿宋_GB2312" w:eastAsia="仿宋_GB2312" w:cs="仿宋_GB2312"/>
                <w:b w:val="0"/>
                <w:bCs w:val="0"/>
                <w:i w:val="0"/>
                <w:color w:val="000000"/>
                <w:sz w:val="32"/>
                <w:szCs w:val="32"/>
                <w:u w:val="none"/>
                <w:shd w:val="clear" w:color="auto" w:fill="auto"/>
                <w:lang w:val="en-US" w:eastAsia="zh-CN"/>
              </w:rPr>
              <w:t>30</w:t>
            </w:r>
          </w:p>
        </w:tc>
        <w:tc>
          <w:tcPr>
            <w:tcW w:w="53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before="0" w:after="0" w:line="340" w:lineRule="exact"/>
              <w:ind w:leftChars="100" w:right="0" w:firstLine="0" w:firstLineChars="0"/>
              <w:jc w:val="both"/>
              <w:textAlignment w:val="center"/>
              <w:outlineLvl w:val="9"/>
              <w:rPr>
                <w:rFonts w:hint="eastAsia" w:ascii="仿宋_GB2312" w:hAnsi="仿宋_GB2312" w:eastAsia="仿宋_GB2312" w:cs="仿宋_GB2312"/>
                <w:b w:val="0"/>
                <w:bCs w:val="0"/>
                <w:i w:val="0"/>
                <w:color w:val="000000"/>
                <w:sz w:val="32"/>
                <w:szCs w:val="32"/>
                <w:u w:val="none"/>
                <w:shd w:val="clear" w:color="auto" w:fill="auto"/>
              </w:rPr>
            </w:pPr>
            <w:r>
              <w:rPr>
                <w:rFonts w:hint="eastAsia" w:ascii="仿宋_GB2312" w:hAnsi="仿宋_GB2312" w:eastAsia="仿宋_GB2312" w:cs="仿宋_GB2312"/>
                <w:sz w:val="24"/>
                <w:szCs w:val="24"/>
                <w:lang w:val="en-US" w:eastAsia="zh-CN"/>
              </w:rPr>
              <w:t>郑州煤机长壁机械有限公司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b w:val="0"/>
                <w:bCs w:val="0"/>
                <w:i w:val="0"/>
                <w:color w:val="000000"/>
                <w:sz w:val="32"/>
                <w:szCs w:val="32"/>
                <w:u w:val="none"/>
                <w:shd w:val="clear" w:color="auto" w:fill="auto"/>
                <w:lang w:val="en-US" w:eastAsia="zh-CN"/>
              </w:rPr>
            </w:pPr>
            <w:r>
              <w:rPr>
                <w:rFonts w:hint="eastAsia" w:ascii="仿宋_GB2312" w:hAnsi="仿宋_GB2312" w:eastAsia="仿宋_GB2312" w:cs="仿宋_GB2312"/>
                <w:b w:val="0"/>
                <w:bCs w:val="0"/>
                <w:i w:val="0"/>
                <w:color w:val="000000"/>
                <w:sz w:val="32"/>
                <w:szCs w:val="32"/>
                <w:u w:val="none"/>
                <w:shd w:val="clear" w:color="auto" w:fill="auto"/>
                <w:lang w:val="en-US" w:eastAsia="zh-CN"/>
              </w:rPr>
              <w:t>31</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Chars="100" w:right="0" w:firstLine="0" w:firstLineChars="0"/>
              <w:jc w:val="left"/>
              <w:outlineLvl w:val="9"/>
              <w:rPr>
                <w:rFonts w:hint="eastAsia" w:ascii="仿宋_GB2312" w:hAnsi="仿宋_GB2312" w:eastAsia="仿宋_GB2312" w:cs="仿宋_GB2312"/>
                <w:b w:val="0"/>
                <w:bCs w:val="0"/>
                <w:i w:val="0"/>
                <w:color w:val="000000"/>
                <w:sz w:val="32"/>
                <w:szCs w:val="32"/>
                <w:u w:val="none"/>
                <w:shd w:val="clear" w:color="auto" w:fill="auto"/>
              </w:rPr>
            </w:pPr>
            <w:r>
              <w:rPr>
                <w:rFonts w:hint="eastAsia" w:ascii="仿宋_GB2312" w:hAnsi="仿宋_GB2312" w:eastAsia="仿宋_GB2312" w:cs="仿宋_GB2312"/>
                <w:b w:val="0"/>
                <w:i w:val="0"/>
                <w:caps w:val="0"/>
                <w:color w:val="000000"/>
                <w:spacing w:val="0"/>
                <w:sz w:val="24"/>
                <w:szCs w:val="24"/>
              </w:rPr>
              <w:t>郑州天城商品混凝土有限公司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b w:val="0"/>
                <w:bCs w:val="0"/>
                <w:i w:val="0"/>
                <w:color w:val="000000"/>
                <w:sz w:val="32"/>
                <w:szCs w:val="32"/>
                <w:u w:val="none"/>
                <w:shd w:val="clear" w:color="auto" w:fill="auto"/>
                <w:lang w:val="en-US" w:eastAsia="zh-CN"/>
              </w:rPr>
            </w:pPr>
            <w:r>
              <w:rPr>
                <w:rFonts w:hint="eastAsia" w:ascii="仿宋_GB2312" w:hAnsi="仿宋_GB2312" w:eastAsia="仿宋_GB2312" w:cs="仿宋_GB2312"/>
                <w:b w:val="0"/>
                <w:bCs w:val="0"/>
                <w:i w:val="0"/>
                <w:color w:val="000000"/>
                <w:sz w:val="32"/>
                <w:szCs w:val="32"/>
                <w:u w:val="none"/>
                <w:shd w:val="clear" w:color="auto" w:fill="auto"/>
                <w:lang w:val="en-US" w:eastAsia="zh-CN"/>
              </w:rPr>
              <w:t>32</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210" w:leftChars="100" w:right="0" w:firstLine="0" w:firstLineChars="0"/>
              <w:jc w:val="left"/>
              <w:outlineLvl w:val="9"/>
              <w:rPr>
                <w:rFonts w:hint="eastAsia" w:ascii="仿宋_GB2312" w:hAnsi="仿宋_GB2312" w:eastAsia="仿宋_GB2312" w:cs="仿宋_GB2312"/>
                <w:b w:val="0"/>
                <w:i w:val="0"/>
                <w:caps w:val="0"/>
                <w:color w:val="000000"/>
                <w:spacing w:val="0"/>
                <w:sz w:val="24"/>
                <w:szCs w:val="24"/>
              </w:rPr>
            </w:pPr>
            <w:r>
              <w:rPr>
                <w:rFonts w:hint="eastAsia" w:ascii="仿宋_GB2312" w:hAnsi="黑体" w:eastAsia="仿宋_GB2312"/>
                <w:sz w:val="24"/>
                <w:szCs w:val="24"/>
                <w:lang w:val="en-US" w:eastAsia="zh-CN"/>
              </w:rPr>
              <w:t>郑州派斯汽车车身工程有限公司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759" w:type="dxa"/>
            <w:tcBorders>
              <w:top w:val="single" w:color="000000" w:sz="4" w:space="0"/>
              <w:left w:val="single" w:color="000000" w:sz="12" w:space="0"/>
              <w:bottom w:val="single" w:color="000000" w:sz="4" w:space="0"/>
              <w:right w:val="single" w:color="000000" w:sz="4"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b w:val="0"/>
                <w:bCs w:val="0"/>
                <w:i w:val="0"/>
                <w:color w:val="000000"/>
                <w:sz w:val="32"/>
                <w:szCs w:val="32"/>
                <w:u w:val="none"/>
                <w:shd w:val="clear" w:color="auto" w:fill="auto"/>
                <w:lang w:val="en-US" w:eastAsia="zh-CN"/>
              </w:rPr>
            </w:pPr>
            <w:r>
              <w:rPr>
                <w:rFonts w:hint="eastAsia" w:ascii="仿宋_GB2312" w:hAnsi="仿宋_GB2312" w:eastAsia="仿宋_GB2312" w:cs="仿宋_GB2312"/>
                <w:b w:val="0"/>
                <w:bCs w:val="0"/>
                <w:i w:val="0"/>
                <w:color w:val="000000"/>
                <w:sz w:val="32"/>
                <w:szCs w:val="32"/>
                <w:u w:val="none"/>
                <w:shd w:val="clear" w:color="auto" w:fill="auto"/>
                <w:lang w:val="en-US" w:eastAsia="zh-CN"/>
              </w:rPr>
              <w:t>33</w:t>
            </w:r>
          </w:p>
        </w:tc>
        <w:tc>
          <w:tcPr>
            <w:tcW w:w="534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before="0" w:after="0" w:line="340" w:lineRule="exact"/>
              <w:ind w:left="210" w:leftChars="100" w:right="0" w:firstLine="0" w:firstLineChars="0"/>
              <w:jc w:val="left"/>
              <w:outlineLvl w:val="9"/>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sz w:val="24"/>
                <w:szCs w:val="24"/>
                <w:lang w:val="en-US" w:eastAsia="zh-CN"/>
              </w:rPr>
              <w:t>郑州市中意装饰家具工程有限公司</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wordWrap/>
              <w:adjustRightInd/>
              <w:snapToGrid/>
              <w:spacing w:before="0" w:after="0" w:line="340" w:lineRule="exact"/>
              <w:ind w:right="0" w:firstLine="0" w:firstLineChars="0"/>
              <w:jc w:val="center"/>
              <w:textAlignment w:val="center"/>
              <w:outlineLvl w:val="9"/>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67.5</w:t>
            </w:r>
          </w:p>
        </w:tc>
      </w:tr>
    </w:tbl>
    <w:p>
      <w:pPr>
        <w:rPr>
          <w:rFonts w:hint="eastAsia" w:ascii="宋体" w:hAnsi="宋体" w:eastAsia="宋体" w:cs="宋体"/>
          <w:lang w:val="en-US"/>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autoSpaceDN w:val="0"/>
        <w:spacing w:after="210" w:line="560" w:lineRule="exact"/>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widowControl w:val="0"/>
        <w:wordWrap/>
        <w:autoSpaceDN w:val="0"/>
        <w:adjustRightInd/>
        <w:snapToGrid/>
        <w:spacing w:before="0" w:after="210" w:line="680" w:lineRule="exact"/>
        <w:ind w:left="0" w:leftChars="0" w:right="0" w:firstLine="0" w:firstLineChars="0"/>
        <w:jc w:val="both"/>
        <w:textAlignment w:val="auto"/>
        <w:outlineLvl w:val="9"/>
        <w:rPr>
          <w:rFonts w:ascii="仿宋_GB2312" w:eastAsia="仿宋_GB2312"/>
          <w:sz w:val="32"/>
          <w:szCs w:val="32"/>
        </w:rPr>
      </w:pPr>
    </w:p>
    <w:p>
      <w:pPr>
        <w:shd w:val="solid" w:color="FFFFFF" w:fill="auto"/>
        <w:tabs>
          <w:tab w:val="left" w:pos="1890"/>
        </w:tabs>
        <w:spacing w:line="560" w:lineRule="exact"/>
      </w:pPr>
      <w:r>
        <w:rPr>
          <w:rFonts w:ascii="Calibri" w:hAnsi="Calibri" w:eastAsia="宋体" w:cs="黑体"/>
          <w:color w:val="000000"/>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55880</wp:posOffset>
                </wp:positionV>
                <wp:extent cx="5615305" cy="12700"/>
                <wp:effectExtent l="0" t="0" r="0" b="0"/>
                <wp:wrapNone/>
                <wp:docPr id="2" name="直线 1028"/>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0.6pt;margin-top:4.4pt;height:1pt;width:442.15pt;z-index:251659264;mso-width-relative:page;mso-height-relative:page;" filled="f" stroked="t" coordsize="21600,21600" o:gfxdata="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wmostIAAAAGAQAADwAAAAAAAAABACAAAAAiAAAA&#10;ZHJzL2Rvd25yZXYueG1sUEsBAhQAFAAAAAgAh07iQJmSw/bUAQAAlAMAAA4AAAAAAAAAAQAgAAAA&#10;IQEAAGRycy9lMm9Eb2MueG1sUEsFBgAAAAAGAAYAWQEAAGcFAAAAAA==&#10;">
                <v:fill on="f" focussize="0,0"/>
                <v:stroke color="#000000" joinstyle="round"/>
                <v:imagedata o:title=""/>
                <o:lock v:ext="edit" aspectratio="f"/>
              </v:line>
            </w:pict>
          </mc:Fallback>
        </mc:AlternateContent>
      </w:r>
      <w:r>
        <w:rPr>
          <w:rFonts w:ascii="Calibri" w:hAnsi="Calibri" w:eastAsia="宋体" w:cs="黑体"/>
          <w:color w:val="000000"/>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398780</wp:posOffset>
                </wp:positionV>
                <wp:extent cx="5615305" cy="12700"/>
                <wp:effectExtent l="0" t="0" r="0" b="0"/>
                <wp:wrapNone/>
                <wp:docPr id="1" name="直线 1027"/>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0.6pt;margin-top:31.4pt;height:1pt;width:442.15pt;z-index:251658240;mso-width-relative:page;mso-height-relative:page;" filled="f" stroked="t" coordsize="21600,21600" o:gfxdata="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uHLRtUAAAAHAQAADwAAAAAAAAABACAAAAAi&#10;AAAAZHJzL2Rvd25yZXYueG1sUEsBAhQAFAAAAAgAh07iQNkrGczUAQAAlAMAAA4AAAAAAAAAAQAg&#10;AAAAJAEAAGRycy9lMm9Eb2MueG1sUEsFBgAAAAAGAAYAWQEAAGoFAAAAAA==&#10;">
                <v:fill on="f" focussize="0,0"/>
                <v:stroke color="#000000" joinstyle="round"/>
                <v:imagedata o:title=""/>
                <o:lock v:ext="edit" aspectratio="f"/>
              </v:line>
            </w:pict>
          </mc:Fallback>
        </mc:AlternateConten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郑州市安全生产监督管理局办公室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201</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年12月</w:t>
      </w:r>
      <w:r>
        <w:rPr>
          <w:rFonts w:hint="eastAsia" w:ascii="仿宋_GB2312" w:eastAsia="仿宋_GB2312"/>
          <w:color w:val="000000"/>
          <w:sz w:val="28"/>
          <w:szCs w:val="28"/>
          <w:lang w:val="en-US" w:eastAsia="zh-CN"/>
        </w:rPr>
        <w:t>19</w:t>
      </w:r>
      <w:r>
        <w:rPr>
          <w:rFonts w:hint="eastAsia" w:ascii="仿宋_GB2312" w:eastAsia="仿宋_GB2312"/>
          <w:color w:val="000000"/>
          <w:sz w:val="28"/>
          <w:szCs w:val="28"/>
        </w:rPr>
        <w:t>日印发</w:t>
      </w:r>
    </w:p>
    <w:sectPr>
      <w:footerReference r:id="rId3" w:type="default"/>
      <w:pgSz w:w="11906" w:h="16838"/>
      <w:pgMar w:top="2154" w:right="1474" w:bottom="1984" w:left="1587" w:header="851" w:footer="124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g&#10;DZYztwEAAFM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C324B"/>
    <w:rsid w:val="2C6C760D"/>
    <w:rsid w:val="3ED34BD9"/>
    <w:rsid w:val="4A9A5BC1"/>
    <w:rsid w:val="531E49F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222</Words>
  <Characters>1270</Characters>
  <Lines>10</Lines>
  <Paragraphs>2</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2017-04-05T01:13:00Z</dcterms:created>
  <dc:creator>Administrator</dc:creator>
  <cp:lastModifiedBy>dell</cp:lastModifiedBy>
  <cp:lastPrinted>2018-12-24T06:07:19Z</cp:lastPrinted>
  <dcterms:modified xsi:type="dcterms:W3CDTF">2018-12-24T06:12:07Z</dcterms:modified>
  <dc:title>郑安监管〔2017〕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